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AD" w:rsidRPr="000429AD" w:rsidRDefault="000429AD" w:rsidP="000429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Times New Roman"/>
          <w:caps/>
          <w:color w:val="666666"/>
          <w:spacing w:val="15"/>
          <w:sz w:val="14"/>
          <w:szCs w:val="14"/>
        </w:rPr>
      </w:pPr>
      <w:r w:rsidRPr="000429AD">
        <w:rPr>
          <w:rFonts w:ascii="Calibri" w:eastAsia="Times New Roman" w:hAnsi="Calibri" w:cs="Times New Roman"/>
          <w:caps/>
          <w:color w:val="666666"/>
          <w:spacing w:val="15"/>
          <w:sz w:val="14"/>
          <w:szCs w:val="14"/>
        </w:rPr>
        <w:t>CHAPTER</w:t>
      </w:r>
      <w:r w:rsidRPr="000429AD">
        <w:rPr>
          <w:rFonts w:ascii="Calibri" w:eastAsia="Times New Roman" w:hAnsi="Calibri" w:cs="Times New Roman"/>
          <w:caps/>
          <w:color w:val="999999"/>
          <w:spacing w:val="15"/>
          <w:sz w:val="54"/>
          <w:szCs w:val="54"/>
          <w:bdr w:val="none" w:sz="0" w:space="0" w:color="auto" w:frame="1"/>
        </w:rPr>
        <w:t>10</w:t>
      </w:r>
    </w:p>
    <w:p w:rsidR="000429AD" w:rsidRPr="000429AD" w:rsidRDefault="000429AD" w:rsidP="000429AD">
      <w:pPr>
        <w:shd w:val="clear" w:color="auto" w:fill="FFFFFF"/>
        <w:spacing w:after="0" w:line="240" w:lineRule="auto"/>
        <w:ind w:left="150"/>
        <w:textAlignment w:val="baseline"/>
        <w:outlineLvl w:val="0"/>
        <w:rPr>
          <w:rFonts w:ascii="Calibri" w:eastAsia="Times New Roman" w:hAnsi="Calibri" w:cs="Times New Roman"/>
          <w:caps/>
          <w:color w:val="666666"/>
          <w:spacing w:val="15"/>
          <w:kern w:val="36"/>
          <w:sz w:val="14"/>
          <w:szCs w:val="14"/>
        </w:rPr>
      </w:pPr>
      <w:r w:rsidRPr="000429AD">
        <w:rPr>
          <w:rFonts w:ascii="Calibri" w:eastAsia="Times New Roman" w:hAnsi="Calibri" w:cs="Times New Roman"/>
          <w:caps/>
          <w:color w:val="666666"/>
          <w:spacing w:val="15"/>
          <w:kern w:val="36"/>
          <w:sz w:val="14"/>
          <w:szCs w:val="14"/>
        </w:rPr>
        <w:t>CHAPTER 10: VOCAL MUSIC FOR CHAMBER AND CHURCH IN THE EARLY BAROQUE</w:t>
      </w:r>
    </w:p>
    <w:p w:rsidR="000429AD" w:rsidRPr="000429AD" w:rsidRDefault="000429AD" w:rsidP="000429AD">
      <w:pPr>
        <w:shd w:val="clear" w:color="auto" w:fill="FFFFFF"/>
        <w:spacing w:before="30" w:line="240" w:lineRule="auto"/>
        <w:ind w:left="150"/>
        <w:textAlignment w:val="baseline"/>
        <w:outlineLvl w:val="1"/>
        <w:rPr>
          <w:rFonts w:ascii="Calibri" w:eastAsia="Times New Roman" w:hAnsi="Calibri" w:cs="Times New Roman"/>
          <w:color w:val="C0A865"/>
          <w:spacing w:val="-15"/>
          <w:sz w:val="48"/>
          <w:szCs w:val="48"/>
        </w:rPr>
      </w:pPr>
      <w:r w:rsidRPr="000429AD">
        <w:rPr>
          <w:rFonts w:ascii="Calibri" w:eastAsia="Times New Roman" w:hAnsi="Calibri" w:cs="Times New Roman"/>
          <w:color w:val="C0A865"/>
          <w:spacing w:val="-15"/>
          <w:sz w:val="48"/>
          <w:szCs w:val="48"/>
        </w:rPr>
        <w:t>Chapter Outline</w:t>
      </w:r>
    </w:p>
    <w:p w:rsidR="000429AD" w:rsidRPr="000429AD" w:rsidRDefault="000429AD" w:rsidP="000429AD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proofErr w:type="gramStart"/>
      <w:r w:rsidRPr="000429AD">
        <w:rPr>
          <w:rFonts w:ascii="Georgia" w:eastAsia="Times New Roman" w:hAnsi="Georgia" w:cs="Times New Roman"/>
          <w:color w:val="615A51"/>
          <w:sz w:val="41"/>
          <w:szCs w:val="41"/>
        </w:rPr>
        <w:t>Prelude.</w:t>
      </w:r>
      <w:proofErr w:type="gramEnd"/>
      <w:r w:rsidRPr="000429AD">
        <w:rPr>
          <w:rFonts w:ascii="Georgia" w:eastAsia="Times New Roman" w:hAnsi="Georgia" w:cs="Times New Roman"/>
          <w:color w:val="615A51"/>
          <w:sz w:val="41"/>
          <w:szCs w:val="41"/>
        </w:rPr>
        <w:t xml:space="preserve"> (CHWM 200)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>New genres of sacred music emerged in the seventeenth century. Much early-seventeenth-century music was truly experimental, but by the middle of the century, new resources had become part of a common musical language.</w:t>
      </w:r>
    </w:p>
    <w:p w:rsidR="000429AD" w:rsidRPr="000429AD" w:rsidRDefault="000429AD" w:rsidP="000429AD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0429AD">
        <w:rPr>
          <w:rFonts w:ascii="Georgia" w:eastAsia="Times New Roman" w:hAnsi="Georgia" w:cs="Times New Roman"/>
          <w:color w:val="615A51"/>
          <w:sz w:val="41"/>
          <w:szCs w:val="41"/>
        </w:rPr>
        <w:t>I. Vocal Chamber Music (CHWM 200–7, NAWM 72–73)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>Most secular vocal music in the early seventeenth century involved instrumental ensembles with voices and was performed in private settings.</w:t>
      </w:r>
    </w:p>
    <w:p w:rsidR="000429AD" w:rsidRPr="000429AD" w:rsidRDefault="000429AD" w:rsidP="000429AD">
      <w:pPr>
        <w:numPr>
          <w:ilvl w:val="0"/>
          <w:numId w:val="1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Strophic aria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In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the early seventeenth century, Italian composers wrote thousands of pieces for solo voice or small vocal ensemble with basso continuo, including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strophic arias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.</w:t>
      </w:r>
    </w:p>
    <w:p w:rsidR="000429AD" w:rsidRPr="000429AD" w:rsidRDefault="000429AD" w:rsidP="000429AD">
      <w:pPr>
        <w:numPr>
          <w:ilvl w:val="0"/>
          <w:numId w:val="1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Concerted madrigals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Concerted</w:t>
      </w:r>
      <w:proofErr w:type="gram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madrigals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exemplify the impact of the new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concertato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medium on old polyphonic vocal music in early-seventeenth-century chamber music.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0429AD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In Performance: Embellishment and Improvisation in the Baroque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  <w:t xml:space="preserve">Baroque musicians regarded a composition as a basis for improvisation, not as an unalterable text, and performers were expected to add to what was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written.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Ornamentation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was a means of moving the affections, and it was done by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using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ornaments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(brief embellishing formulas) or through a process called</w:t>
      </w:r>
      <w:r w:rsidRPr="000429AD">
        <w:rPr>
          <w:rFonts w:ascii="Georgia" w:eastAsia="Times New Roman" w:hAnsi="Georgia" w:cs="Times New Roman"/>
          <w:color w:val="333333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division</w:t>
      </w:r>
      <w:proofErr w:type="gram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,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diminution</w:t>
      </w:r>
      <w:proofErr w:type="spellEnd"/>
      <w:proofErr w:type="gram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, or</w:t>
      </w:r>
      <w:r w:rsidRPr="000429AD">
        <w:rPr>
          <w:rFonts w:ascii="Georgia" w:eastAsia="Times New Roman" w:hAnsi="Georgia" w:cs="Times New Roman"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figuration</w:t>
      </w:r>
      <w:r w:rsidRPr="000429AD">
        <w:rPr>
          <w:rFonts w:ascii="Georgia" w:eastAsia="Times New Roman" w:hAnsi="Georgia" w:cs="Times New Roman"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(creating more extended embellishments). Performers could also change the score in other ways, including omitting, rearranging, and substituting sections or adding</w:t>
      </w:r>
      <w:r w:rsidRPr="000429AD">
        <w:rPr>
          <w:rFonts w:ascii="Georgia" w:eastAsia="Times New Roman" w:hAnsi="Georgia" w:cs="Times New Roman"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cadenzas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.</w:t>
      </w:r>
    </w:p>
    <w:p w:rsidR="000429AD" w:rsidRPr="000429AD" w:rsidRDefault="000429AD" w:rsidP="000429AD">
      <w:pPr>
        <w:numPr>
          <w:ilvl w:val="0"/>
          <w:numId w:val="2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Madrigals of War and Love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Monteverdi’s eighth book of madrigals,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Madrigali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guerrieri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gram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et</w:t>
      </w:r>
      <w:proofErr w:type="gram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amorosi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(Madrigals of War and Love, 1638), contains a variety of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concertato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forms. It includes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Combattimento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Tancredi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e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Clorinda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(The Combat of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Tancredi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and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Clorinda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), a composition that blends mime and music and that features the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concitato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proofErr w:type="gram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genere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the excited style).</w:t>
      </w:r>
    </w:p>
    <w:p w:rsidR="000429AD" w:rsidRPr="000429AD" w:rsidRDefault="000429AD" w:rsidP="000429AD">
      <w:pPr>
        <w:numPr>
          <w:ilvl w:val="0"/>
          <w:numId w:val="3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Ostinato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basses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Many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songs and instrumental works of the early seventeenth century used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a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basso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ostinato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,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or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ground bass.</w:t>
      </w:r>
    </w:p>
    <w:p w:rsidR="000429AD" w:rsidRPr="000429AD" w:rsidRDefault="000429AD" w:rsidP="000429AD">
      <w:pPr>
        <w:numPr>
          <w:ilvl w:val="0"/>
          <w:numId w:val="4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Laments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descending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tetrachord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was a common ground bass pattern, often used for laments.</w:t>
      </w:r>
    </w:p>
    <w:p w:rsidR="000429AD" w:rsidRPr="000429AD" w:rsidRDefault="000429AD" w:rsidP="000429AD">
      <w:pPr>
        <w:numPr>
          <w:ilvl w:val="0"/>
          <w:numId w:val="5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Cantata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The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cantata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was a new genre of composition for voice and continuo.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0429AD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 xml:space="preserve">Biography: Barbara </w:t>
      </w:r>
      <w:proofErr w:type="spellStart"/>
      <w:r w:rsidRPr="000429AD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Strozzi</w:t>
      </w:r>
      <w:proofErr w:type="spellEnd"/>
      <w:r w:rsidRPr="000429AD">
        <w:rPr>
          <w:rFonts w:ascii="Georgia" w:eastAsia="Times New Roman" w:hAnsi="Georgia" w:cs="Times New Roman"/>
          <w:b/>
          <w:bCs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 xml:space="preserve">Barbara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Strozzi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(1619–1677</w:t>
      </w:r>
      <w:proofErr w:type="gram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)was</w:t>
      </w:r>
      <w:proofErr w:type="gram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 born in Venice and, along with her father, was a part of intellectual circles. She studied with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Cavalli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 and was supported financially by her family and her patrons. One of the most prolific composers of vocal chamber music,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Strozzi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 published more cantatas than any other composer of the time.</w:t>
      </w:r>
    </w:p>
    <w:p w:rsidR="000429AD" w:rsidRPr="000429AD" w:rsidRDefault="000429AD" w:rsidP="000429AD">
      <w:pPr>
        <w:numPr>
          <w:ilvl w:val="0"/>
          <w:numId w:val="6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Strozzi’s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chamber cantata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Strozzi’s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Lagrime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mie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, which is in several sections, including both recitatives and arias, is representative of the solo chamber cantata.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72</w:t>
      </w:r>
    </w:p>
    <w:p w:rsidR="000429AD" w:rsidRPr="000429AD" w:rsidRDefault="000429AD" w:rsidP="000429AD">
      <w:pPr>
        <w:numPr>
          <w:ilvl w:val="0"/>
          <w:numId w:val="7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Airs de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cour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An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air de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cour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is a homophonic, strophic song for four to five voices or for solo voice with lute accompaniment. Airs de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cour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have mostly syllabic text setting and diatonic melodies.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73</w:t>
      </w:r>
    </w:p>
    <w:p w:rsidR="000429AD" w:rsidRPr="000429AD" w:rsidRDefault="000429AD" w:rsidP="000429AD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0429AD">
        <w:rPr>
          <w:rFonts w:ascii="Georgia" w:eastAsia="Times New Roman" w:hAnsi="Georgia" w:cs="Times New Roman"/>
          <w:color w:val="615A51"/>
          <w:sz w:val="41"/>
          <w:szCs w:val="41"/>
        </w:rPr>
        <w:t>II. Catholic Sacred Music (CHWM 207–11, NAWM 74–76)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>Composers of Catholic sacred music adopted the theatrical idiom in works like </w:t>
      </w:r>
      <w:r w:rsidRPr="000429AD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sacred concertos, </w:t>
      </w:r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>which used a dramatic medium to convey the church’s message.</w:t>
      </w:r>
    </w:p>
    <w:p w:rsidR="000429AD" w:rsidRPr="000429AD" w:rsidRDefault="000429AD" w:rsidP="000429AD">
      <w:pPr>
        <w:numPr>
          <w:ilvl w:val="0"/>
          <w:numId w:val="8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lastRenderedPageBreak/>
        <w:t xml:space="preserve">Stile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antico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Composers utilized both the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stile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antico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(old contrapuntal style) and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stile </w:t>
      </w:r>
      <w:proofErr w:type="spellStart"/>
      <w:proofErr w:type="gram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moderno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modern style) in their works.</w:t>
      </w:r>
    </w:p>
    <w:p w:rsidR="000429AD" w:rsidRPr="000429AD" w:rsidRDefault="000429AD" w:rsidP="000429AD">
      <w:pPr>
        <w:numPr>
          <w:ilvl w:val="0"/>
          <w:numId w:val="8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Large-scale sacred concerto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Large, wealthy churches celebrated major feast days with large-scale works, often using antiphonal effects.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74</w:t>
      </w:r>
    </w:p>
    <w:p w:rsidR="000429AD" w:rsidRPr="000429AD" w:rsidRDefault="000429AD" w:rsidP="000429AD">
      <w:pPr>
        <w:numPr>
          <w:ilvl w:val="0"/>
          <w:numId w:val="8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Small sacred concerto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small sacred concerto, with one or more soloists and organ continuo, was more common and economical than the large-scale concerto.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Lodovico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proofErr w:type="gram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Viadana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1560–1627) was a pioneer of this medium.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Alessandro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Grandi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(1586–1630) composed many solo motets that used the new style of monody.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75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0429AD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In Context: The Ecstasy of Saint Teresa</w:t>
      </w:r>
      <w:r w:rsidRPr="000429AD">
        <w:rPr>
          <w:rFonts w:ascii="Georgia" w:eastAsia="Times New Roman" w:hAnsi="Georgia" w:cs="Times New Roman"/>
          <w:b/>
          <w:bCs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  <w:t>Bernini’s sculpture</w:t>
      </w:r>
      <w:r w:rsidRPr="000429AD">
        <w:rPr>
          <w:rFonts w:ascii="Georgia" w:eastAsia="Times New Roman" w:hAnsi="Georgia" w:cs="Times New Roman"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The Ecstasy of Saint Teresa</w:t>
      </w:r>
      <w:r w:rsidRPr="000429AD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is typical of Baroque art: it is theatrical, represents action, and seeks to move our emotions.</w:t>
      </w:r>
    </w:p>
    <w:p w:rsidR="000429AD" w:rsidRPr="000429AD" w:rsidRDefault="000429AD" w:rsidP="000429AD">
      <w:pPr>
        <w:numPr>
          <w:ilvl w:val="0"/>
          <w:numId w:val="9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Oratorio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Oratorios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were religious music dramas performed outside of church services.</w:t>
      </w:r>
    </w:p>
    <w:p w:rsidR="000429AD" w:rsidRPr="000429AD" w:rsidRDefault="000429AD" w:rsidP="000429AD">
      <w:pPr>
        <w:numPr>
          <w:ilvl w:val="0"/>
          <w:numId w:val="10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Oratorio versus opera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An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oratorio uses most of the same types of music as an opera, but it has a religious subject, is rarely staged, often has a narrator, and employs a chorus that can participate in the drama.</w:t>
      </w:r>
    </w:p>
    <w:p w:rsidR="000429AD" w:rsidRPr="000429AD" w:rsidRDefault="000429AD" w:rsidP="000429AD">
      <w:pPr>
        <w:numPr>
          <w:ilvl w:val="0"/>
          <w:numId w:val="11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Carissimi’s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Jephte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leading composer of oratorios was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Giacomo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Carissimi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(1605–1674)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,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whose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Jephte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exemplifies the midcentury oratorio.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76</w:t>
      </w:r>
    </w:p>
    <w:p w:rsidR="000429AD" w:rsidRPr="000429AD" w:rsidRDefault="000429AD" w:rsidP="000429AD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0429AD">
        <w:rPr>
          <w:rFonts w:ascii="Georgia" w:eastAsia="Times New Roman" w:hAnsi="Georgia" w:cs="Times New Roman"/>
          <w:color w:val="615A51"/>
          <w:sz w:val="41"/>
          <w:szCs w:val="41"/>
        </w:rPr>
        <w:t>III. Lutheran Church Music (CHWM 211–14, NAWM 77–78)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 xml:space="preserve">Composers in both Catholic and Lutheran churches in German-speaking regions used elements of theatrical monody and </w:t>
      </w:r>
      <w:proofErr w:type="spellStart"/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>concertato</w:t>
      </w:r>
      <w:proofErr w:type="spellEnd"/>
      <w:r w:rsidRPr="000429AD">
        <w:rPr>
          <w:rFonts w:ascii="Georgia" w:eastAsia="Times New Roman" w:hAnsi="Georgia" w:cs="Times New Roman"/>
          <w:color w:val="333333"/>
          <w:sz w:val="24"/>
          <w:szCs w:val="24"/>
        </w:rPr>
        <w:t xml:space="preserve"> techniques.</w:t>
      </w:r>
    </w:p>
    <w:p w:rsidR="000429AD" w:rsidRPr="000429AD" w:rsidRDefault="000429AD" w:rsidP="000429AD">
      <w:pPr>
        <w:numPr>
          <w:ilvl w:val="0"/>
          <w:numId w:val="12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 xml:space="preserve">Heinrich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Heinrich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(1585–1672), the leading German composer of his time, studied in Venice.</w:t>
      </w:r>
    </w:p>
    <w:p w:rsidR="000429AD" w:rsidRPr="000429AD" w:rsidRDefault="000429AD" w:rsidP="000429AD">
      <w:pPr>
        <w:numPr>
          <w:ilvl w:val="0"/>
          <w:numId w:val="12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Sacred concertos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published most of his sacred works in a series of collections that show a variety of styles and techniques. In 1636 and 1639, he published his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Kleine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geistliche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Konzerte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(Small Sacred Concertos) for one to five solo voices with continuo that use Italian monody to convey the text. In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Symphoniae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sacrae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II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and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III</w:t>
      </w:r>
      <w:proofErr w:type="spellEnd"/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(1647 and 1650),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published large-scale concertos that blend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Gabrieli’s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polychoral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style with Monteverdi’s expressive techniques.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77–78</w:t>
      </w:r>
    </w:p>
    <w:p w:rsidR="000429AD" w:rsidRPr="000429AD" w:rsidRDefault="000429AD" w:rsidP="000429AD">
      <w:pPr>
        <w:shd w:val="clear" w:color="auto" w:fill="FFFFFF"/>
        <w:spacing w:after="36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0429AD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 xml:space="preserve">Biography: Heinrich </w:t>
      </w:r>
      <w:proofErr w:type="spellStart"/>
      <w:r w:rsidRPr="000429AD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b/>
          <w:bCs/>
          <w:color w:val="333333"/>
          <w:sz w:val="17"/>
        </w:rPr>
        <w:t> </w:t>
      </w:r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Schütz’s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 early musical training was sponsored by the landgrave of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Hesse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, who persuaded him to study composition with Giovanni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Gabrieli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 in Venice. </w:t>
      </w:r>
      <w:proofErr w:type="spellStart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color w:val="333333"/>
          <w:sz w:val="17"/>
          <w:szCs w:val="17"/>
        </w:rPr>
        <w:t xml:space="preserve"> spent his entire career in the service of the elector of Saxony in Dresden, where he composed church music as well as sacred and secular music for major ceremonies.</w:t>
      </w:r>
    </w:p>
    <w:p w:rsidR="000429AD" w:rsidRPr="000429AD" w:rsidRDefault="000429AD" w:rsidP="000429AD">
      <w:pPr>
        <w:numPr>
          <w:ilvl w:val="0"/>
          <w:numId w:val="13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Historia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Schütz’s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The Seven Last Words of Christ</w:t>
      </w:r>
      <w:r w:rsidRPr="000429AD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(ca. 1650s) is </w:t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an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historia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that utilizes a variety of singing styles for dramatic effect.</w:t>
      </w:r>
    </w:p>
    <w:p w:rsidR="000429AD" w:rsidRPr="000429AD" w:rsidRDefault="000429AD" w:rsidP="000429AD">
      <w:pPr>
        <w:numPr>
          <w:ilvl w:val="0"/>
          <w:numId w:val="14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Passions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most common type of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historia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was a Passion, and </w:t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composed three such works.</w:t>
      </w:r>
    </w:p>
    <w:p w:rsidR="000429AD" w:rsidRPr="000429AD" w:rsidRDefault="000429AD" w:rsidP="000429AD">
      <w:pPr>
        <w:numPr>
          <w:ilvl w:val="0"/>
          <w:numId w:val="15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Legacy</w:t>
      </w:r>
      <w:r w:rsidRPr="000429AD">
        <w:rPr>
          <w:rFonts w:ascii="Georgia" w:eastAsia="Times New Roman" w:hAnsi="Georgia" w:cs="Times New Roman"/>
          <w:color w:val="343332"/>
          <w:sz w:val="17"/>
        </w:rPr>
        <w:t> </w:t>
      </w:r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spellStart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>Schütz</w:t>
      </w:r>
      <w:proofErr w:type="spellEnd"/>
      <w:r w:rsidRPr="000429AD">
        <w:rPr>
          <w:rFonts w:ascii="Georgia" w:eastAsia="Times New Roman" w:hAnsi="Georgia" w:cs="Times New Roman"/>
          <w:color w:val="343332"/>
          <w:sz w:val="17"/>
          <w:szCs w:val="17"/>
        </w:rPr>
        <w:t xml:space="preserve"> was best known in Lutheran areas of Germany. His synthesis of German and Italian elements influenced later German composers.</w:t>
      </w:r>
    </w:p>
    <w:p w:rsidR="00B60911" w:rsidRDefault="00B60911"/>
    <w:sectPr w:rsidR="00B60911" w:rsidSect="00B6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B21"/>
    <w:multiLevelType w:val="multilevel"/>
    <w:tmpl w:val="9B967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A0CEC"/>
    <w:multiLevelType w:val="multilevel"/>
    <w:tmpl w:val="B572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C5332"/>
    <w:multiLevelType w:val="multilevel"/>
    <w:tmpl w:val="FA543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B6AA8"/>
    <w:multiLevelType w:val="multilevel"/>
    <w:tmpl w:val="1CA2F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560D"/>
    <w:multiLevelType w:val="multilevel"/>
    <w:tmpl w:val="F2902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16BF7"/>
    <w:multiLevelType w:val="multilevel"/>
    <w:tmpl w:val="57D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47816"/>
    <w:multiLevelType w:val="multilevel"/>
    <w:tmpl w:val="514A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9AD"/>
    <w:rsid w:val="000429AD"/>
    <w:rsid w:val="00B6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11"/>
  </w:style>
  <w:style w:type="paragraph" w:styleId="Heading1">
    <w:name w:val="heading 1"/>
    <w:basedOn w:val="Normal"/>
    <w:link w:val="Heading1Char"/>
    <w:uiPriority w:val="9"/>
    <w:qFormat/>
    <w:rsid w:val="0004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2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2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29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29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29AD"/>
  </w:style>
  <w:style w:type="paragraph" w:styleId="DocumentMap">
    <w:name w:val="Document Map"/>
    <w:basedOn w:val="Normal"/>
    <w:link w:val="DocumentMapChar"/>
    <w:uiPriority w:val="99"/>
    <w:semiHidden/>
    <w:unhideWhenUsed/>
    <w:rsid w:val="0004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6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23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DDDDD"/>
              </w:divBdr>
            </w:div>
            <w:div w:id="11368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2012-08-22T03:10:00Z</dcterms:created>
  <dcterms:modified xsi:type="dcterms:W3CDTF">2012-08-22T03:10:00Z</dcterms:modified>
</cp:coreProperties>
</file>